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F36FE" w14:textId="0B63105A" w:rsidR="0070763F" w:rsidRDefault="00B52E8C" w:rsidP="000309C6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52E8C">
        <w:rPr>
          <w:rFonts w:ascii="Times New Roman" w:hAnsi="Times New Roman"/>
          <w:sz w:val="24"/>
          <w:szCs w:val="24"/>
        </w:rPr>
        <w:t xml:space="preserve">B 2.1.4. </w:t>
      </w:r>
      <w:r w:rsidRPr="00B52E8C">
        <w:rPr>
          <w:rFonts w:ascii="Times New Roman" w:hAnsi="Times New Roman"/>
          <w:sz w:val="24"/>
          <w:szCs w:val="24"/>
          <w:shd w:val="clear" w:color="auto" w:fill="FFFFFF"/>
        </w:rPr>
        <w:t>Pe întreaga durată a stagiului de pregătire doctorală, studenții doctoranzi din domeniu beneficiază de consilierea/îndrumarea unor comisii de îndrumare funcționale, aspect reflectat prin îndrumare și feedback scris sau întâlniri regulate.</w:t>
      </w:r>
    </w:p>
    <w:p w14:paraId="12B0F087" w14:textId="40D353E5" w:rsidR="0070763F" w:rsidRPr="000309C6" w:rsidRDefault="0070763F" w:rsidP="000309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In tabelul de mai jos sunt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prezentati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doctoranzii care au avut articole cu membrii comisiei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indrumare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aceasta dovedind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intercatiunea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regulata si colaborarea dintre membrii comisiilor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indrumare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si doctoranzi.</w:t>
      </w:r>
    </w:p>
    <w:tbl>
      <w:tblPr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560"/>
        <w:gridCol w:w="2268"/>
        <w:gridCol w:w="3492"/>
      </w:tblGrid>
      <w:tr w:rsidR="00B52E8C" w:rsidRPr="00A93675" w14:paraId="418E3B58" w14:textId="77777777" w:rsidTr="00FF5A11"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ABD6133" w14:textId="343EA4EA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Nr.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AC1270" w14:textId="6307510E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Conducator</w:t>
            </w:r>
            <w:proofErr w:type="spellEnd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doctorat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4C3BCF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Doctorand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9F6E55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Membrii</w:t>
            </w:r>
            <w:proofErr w:type="spellEnd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comisiei</w:t>
            </w:r>
            <w:proofErr w:type="spellEnd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93675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  <w:t>indrumare</w:t>
            </w:r>
            <w:proofErr w:type="spellEnd"/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5588FB7" w14:textId="77777777" w:rsidR="00B52E8C" w:rsidRPr="00FF5A11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FF5A11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fr-FR"/>
              </w:rPr>
              <w:t>Lucrari publicate cu membrii comisiei</w:t>
            </w:r>
          </w:p>
        </w:tc>
      </w:tr>
      <w:tr w:rsidR="00B52E8C" w:rsidRPr="00A93675" w14:paraId="72BD5EEA" w14:textId="77777777" w:rsidTr="00A93675">
        <w:trPr>
          <w:trHeight w:val="11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96AE" w14:textId="3DA7D253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17F1" w14:textId="39D6DF19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Demetrescu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Ioana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1D44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Larisa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Marinela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PRIOTEASA, 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93B1" w14:textId="44BC3BD4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Cristian PÎRVU</w:t>
            </w:r>
          </w:p>
          <w:p w14:paraId="1678CCEA" w14:textId="045019B3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Daniela IONITA</w:t>
            </w:r>
          </w:p>
          <w:p w14:paraId="3359D7CB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Mariana PRODANA</w:t>
            </w: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55B9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L.Prioteasa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M.Prodana</w:t>
            </w:r>
            <w:proofErr w:type="spellEnd"/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M.Buzoianu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ICP-MS determination of some metals and metalloids concentrations in soil from agricultural and inhabited areas of Romania, REV. CHIM., 67(7), 1314-1317, 2016, http://www.revistadechimie.ro/pdf/PRIOTEASA%20L%207%2016.pdf.</w:t>
            </w:r>
          </w:p>
        </w:tc>
      </w:tr>
      <w:tr w:rsidR="00B52E8C" w:rsidRPr="00A93675" w14:paraId="7D05EA12" w14:textId="77777777" w:rsidTr="00A93675">
        <w:trPr>
          <w:trHeight w:val="1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D006" w14:textId="30B5CC91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2680" w14:textId="300040D4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Demetrescu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Ioana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E121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Elena ANGHELESCU (BERTEANU), 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86A8" w14:textId="0FF687CD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Cristian PÎRVU</w:t>
            </w:r>
          </w:p>
          <w:p w14:paraId="6103A270" w14:textId="7FC4778B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Daniela IONITA</w:t>
            </w:r>
          </w:p>
          <w:p w14:paraId="637B807F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Mariana PRODANA</w:t>
            </w: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1DD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Ungureanu, Camelia;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Ionita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Daniela;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Berteanu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Elena;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Tcacenko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Luminita;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Zuav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Adina;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Demetrescu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Ioana., Improving Natural Biopolymeric Membranes Based on Chitosan and Collagen for Biomedical Applications Introducing Silver, J OF THE BRAZILIAN CHEMICAL SOCIETY, 26(3), 2015, 458-465, DOI:10.5935/0103-5053.20150298.</w:t>
            </w:r>
          </w:p>
        </w:tc>
      </w:tr>
      <w:tr w:rsidR="00B52E8C" w:rsidRPr="00A93675" w14:paraId="164EE2B3" w14:textId="77777777" w:rsidTr="00A93675">
        <w:trPr>
          <w:trHeight w:val="1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5BB" w14:textId="42FBC9E2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BCFB" w14:textId="01154F7A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Demetrescu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Ioana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E08B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Daniela Emilia COVACIU (ROMONTI), 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1BE7" w14:textId="2F2B18EA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Cristian PÎRVU</w:t>
            </w:r>
          </w:p>
          <w:p w14:paraId="67C51381" w14:textId="2367A7F2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Daniela IONITA</w:t>
            </w:r>
          </w:p>
          <w:p w14:paraId="0E8A2A9C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Georgeta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VOICU</w:t>
            </w: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67FB" w14:textId="77777777" w:rsidR="00B52E8C" w:rsidRPr="00A93675" w:rsidRDefault="00B52E8C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Romonti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D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Covaciu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Voicu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G,Ionita</w:t>
            </w:r>
            <w:proofErr w:type="spellEnd"/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Daniela; I.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Demetrescu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ABOUT STABILITY OF ELECTRODEPOSITED FLUORIDATED PHOSPHATE MASSES ON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CoCrMo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ALLOYS  REVISTA ROMANA DE MATERIALE-ROMANIAN J. OF MATERIALS, 44(3), 283-291, 2014.</w:t>
            </w:r>
          </w:p>
        </w:tc>
      </w:tr>
      <w:tr w:rsidR="00A93675" w:rsidRPr="00A93675" w14:paraId="5DE50FAC" w14:textId="77777777" w:rsidTr="00A93675">
        <w:trPr>
          <w:trHeight w:val="1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A4DC" w14:textId="1D72BC96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4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46F7" w14:textId="4351CF3A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hAnsi="Cambria"/>
                <w:sz w:val="20"/>
                <w:szCs w:val="20"/>
                <w:lang w:val="en-US"/>
              </w:rPr>
              <w:t xml:space="preserve">Ioana </w:t>
            </w:r>
            <w:proofErr w:type="spellStart"/>
            <w:r w:rsidRPr="00A93675">
              <w:rPr>
                <w:rFonts w:ascii="Cambria" w:hAnsi="Cambria"/>
                <w:sz w:val="20"/>
                <w:szCs w:val="20"/>
                <w:lang w:val="en-US"/>
              </w:rPr>
              <w:t>Demetrescu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50AB" w14:textId="3487BA1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hAnsi="Cambria"/>
                <w:bCs/>
                <w:color w:val="000000" w:themeColor="text1"/>
                <w:sz w:val="20"/>
                <w:szCs w:val="20"/>
                <w:lang w:val="en-US"/>
              </w:rPr>
              <w:t>Ichim</w:t>
            </w:r>
            <w:proofErr w:type="spellEnd"/>
            <w:r w:rsidRPr="00A93675">
              <w:rPr>
                <w:rFonts w:ascii="Cambria" w:hAnsi="Cambria"/>
                <w:bCs/>
                <w:color w:val="000000" w:themeColor="text1"/>
                <w:sz w:val="20"/>
                <w:szCs w:val="20"/>
                <w:lang w:val="en-US"/>
              </w:rPr>
              <w:t xml:space="preserve"> Luiza, 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CBE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Daniela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Ionita</w:t>
            </w:r>
            <w:proofErr w:type="spellEnd"/>
          </w:p>
          <w:p w14:paraId="116D9565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Mariana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Prodana</w:t>
            </w:r>
            <w:proofErr w:type="spellEnd"/>
          </w:p>
          <w:p w14:paraId="1EC37FEC" w14:textId="3408FED0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Cristian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Pirvu</w:t>
            </w:r>
            <w:proofErr w:type="spellEnd"/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455E" w14:textId="5824311A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>Electrochemical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 xml:space="preserve">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>stability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 xml:space="preserve"> of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>Titanium-Hydroxyapatite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 xml:space="preserve">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>implantable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 xml:space="preserve"> material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>modified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 xml:space="preserve">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>with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 xml:space="preserve">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</w:rPr>
              <w:t>Ceftriaxone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  <w:lang w:val="en-US"/>
              </w:rPr>
              <w:t xml:space="preserve">, L.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  <w:lang w:val="en-US"/>
              </w:rPr>
              <w:t>Ichim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  <w:lang w:val="en-US"/>
              </w:rPr>
              <w:t xml:space="preserve">, C.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  <w:lang w:val="en-US"/>
              </w:rPr>
              <w:t>Pirvu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  <w:lang w:val="en-US"/>
              </w:rPr>
              <w:t xml:space="preserve">, C.C. </w:t>
            </w:r>
            <w:proofErr w:type="spellStart"/>
            <w:r w:rsidRPr="00A93675">
              <w:rPr>
                <w:rFonts w:ascii="Cambria" w:hAnsi="Cambria"/>
                <w:color w:val="323232"/>
                <w:sz w:val="20"/>
                <w:szCs w:val="20"/>
                <w:lang w:val="en-US"/>
              </w:rPr>
              <w:t>Manole</w:t>
            </w:r>
            <w:proofErr w:type="spellEnd"/>
            <w:r w:rsidRPr="00A93675">
              <w:rPr>
                <w:rFonts w:ascii="Cambria" w:hAnsi="Cambria"/>
                <w:color w:val="323232"/>
                <w:sz w:val="20"/>
                <w:szCs w:val="20"/>
                <w:lang w:val="en-US"/>
              </w:rPr>
              <w:t>, International Journal off Electrochemical Science, 13(12) 2018, 11895-11905.</w:t>
            </w:r>
          </w:p>
        </w:tc>
      </w:tr>
      <w:tr w:rsidR="00A93675" w:rsidRPr="00A93675" w14:paraId="7CDAA931" w14:textId="77777777" w:rsidTr="00A93675">
        <w:trPr>
          <w:trHeight w:val="8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9A2F" w14:textId="4A157369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5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AAEB" w14:textId="712DE095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Ion Alina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Catrinel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CB0C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Mirea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Radu Elena, 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3E63" w14:textId="23CC6B60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Emil STEPAN</w:t>
            </w:r>
          </w:p>
          <w:p w14:paraId="42362A31" w14:textId="743FFB9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Ion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ION</w:t>
            </w:r>
            <w:proofErr w:type="spellEnd"/>
          </w:p>
          <w:p w14:paraId="32FD658E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Anton FICAI</w:t>
            </w: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C490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FF5A11">
              <w:rPr>
                <w:rFonts w:ascii="Cambria" w:eastAsia="Times New Roman" w:hAnsi="Cambria"/>
                <w:color w:val="000000"/>
                <w:sz w:val="20"/>
                <w:szCs w:val="20"/>
                <w:lang w:val="fr-FR"/>
              </w:rPr>
              <w:t xml:space="preserve">E. Radu, R. Stoica, S. M. Doncea, G.Vasilievici, E. E. Oprescu, A. J. M. Al- Ogaidi, I. Ion, A.C. Ion. 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Vancomycin sorption on pristine and oxidized exfoliated graphite nanoplatelets,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Revista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Chimie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67(3), 2016, 401-407</w:t>
            </w:r>
          </w:p>
        </w:tc>
      </w:tr>
      <w:tr w:rsidR="00A93675" w:rsidRPr="00A93675" w14:paraId="2D75E94C" w14:textId="77777777" w:rsidTr="00A93675">
        <w:trPr>
          <w:trHeight w:val="116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E91536" w14:textId="7E297B7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6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29AE" w14:textId="480758D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Aurelia</w:t>
            </w:r>
          </w:p>
          <w:p w14:paraId="24CEE269" w14:textId="7CA53FE0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CCF0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Ionescu (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Bordei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Natalita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2016</w:t>
            </w:r>
          </w:p>
          <w:p w14:paraId="2FD096BC" w14:textId="6A907B1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73CD" w14:textId="43CF3856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Prof. Ileana Rau</w:t>
            </w:r>
          </w:p>
          <w:p w14:paraId="00EE6095" w14:textId="7FB1154D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Conf. Ioana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Lacatusu</w:t>
            </w:r>
            <w:proofErr w:type="spellEnd"/>
          </w:p>
          <w:p w14:paraId="53FBF730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Dr. Tamas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Viorica</w:t>
            </w:r>
            <w:proofErr w:type="spellEnd"/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DC16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Lacatusu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I.,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Niculae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G., Ionescu (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Bordei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), N., Stan, R.,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A., “Lipid nanocarriers based on natural compounds: An evolving role in further plant extracts delivery”, 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lastRenderedPageBreak/>
              <w:t>Eur. J. Lipid Sci. Technol. 116, (12), 2014, pp. 1708-1717; FI: 2,033</w:t>
            </w:r>
          </w:p>
        </w:tc>
      </w:tr>
      <w:tr w:rsidR="00A93675" w:rsidRPr="00A93675" w14:paraId="5C6D7ECF" w14:textId="77777777" w:rsidTr="00A93675">
        <w:trPr>
          <w:trHeight w:val="8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0098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005" w14:textId="440775E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0744" w14:textId="336E5B3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7F11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6DF7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Ionescu (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Bordei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), N., Popescu, M., Tamas, V., “The characterization of Romanian vegetable oils and extracts by advanced techniques”,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Journ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. of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EcoAgriTourism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ISSN 1844-8577, vol. 11 (1), 2015, pp. 19-26</w:t>
            </w:r>
          </w:p>
        </w:tc>
      </w:tr>
      <w:tr w:rsidR="00A93675" w:rsidRPr="00A93675" w14:paraId="2C2B6A7F" w14:textId="77777777" w:rsidTr="00A93675">
        <w:trPr>
          <w:trHeight w:val="116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F71C792" w14:textId="74A1EDA3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7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9491" w14:textId="44D5217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Aurelia</w:t>
            </w:r>
          </w:p>
          <w:p w14:paraId="596973DD" w14:textId="42ECD91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3D8EC26C" w14:textId="1351DD7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6FA6C27C" w14:textId="46AAE7D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8C0C" w14:textId="258CFE5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Mircea Maria-Luiza, 2016</w:t>
            </w:r>
          </w:p>
          <w:p w14:paraId="7A2D5CBB" w14:textId="2D073F2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394B70DD" w14:textId="0A0DACC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6B7FEF7A" w14:textId="49AB302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12D5" w14:textId="47642A4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Prof. Ileana Rau</w:t>
            </w:r>
          </w:p>
          <w:p w14:paraId="44C6446E" w14:textId="68B6D044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Conf. Maria Mihaly</w:t>
            </w:r>
          </w:p>
          <w:p w14:paraId="053BFBA4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Conf. Dr. Nicoleta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8796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Ion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Iosub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Francois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Kajzar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Aurelia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Maria-Luiza Mircea, Irina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Geana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Ileana Rau, “Spectro-Electrochemical Properties of Pelargonidin-3-O=Glucoside”, Molecular Crystals and Liquid Crystals, Vol. 603, Issue 1, 136-145, 2014, Factor impact = 0,493</w:t>
            </w:r>
          </w:p>
        </w:tc>
      </w:tr>
      <w:tr w:rsidR="00A93675" w:rsidRPr="00A93675" w14:paraId="1FD0AAC3" w14:textId="77777777" w:rsidTr="00A93675">
        <w:trPr>
          <w:trHeight w:val="8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0A25E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5E49" w14:textId="647DBEE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C953" w14:textId="539B50B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2E7A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B014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Maria-Luiza Mircea, Aurelia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Ileana Rau, “Hydrophilic/hydrophobic character of some biopolymer based thin films”, U.P.B. Sci. Bull., Series B, Vol. 77, 161-168, Iss.4, 2015</w:t>
            </w:r>
          </w:p>
        </w:tc>
      </w:tr>
      <w:tr w:rsidR="00A93675" w:rsidRPr="00A93675" w14:paraId="26E81DE5" w14:textId="77777777" w:rsidTr="00A93675">
        <w:trPr>
          <w:trHeight w:val="8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4EEB0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B6DC" w14:textId="64CB6455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DC5C" w14:textId="32CA543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5F01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A24C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Maria-Luiza Mircea, Ana-Maria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Manea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Francois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Kajzar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Ileana Rau, “Tuning NLO Susceptibility in Functionalized DNA”, Advanced Optical Materials, Vol. 4, Issue 2, 271-275, 2016, Factor impact = 4,060</w:t>
            </w:r>
          </w:p>
        </w:tc>
      </w:tr>
      <w:tr w:rsidR="00A93675" w:rsidRPr="00A93675" w14:paraId="48F6986C" w14:textId="77777777" w:rsidTr="00A93675">
        <w:trPr>
          <w:trHeight w:val="8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2BF2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9D54" w14:textId="2B269B8D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6FC5" w14:textId="5E44D3C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7A4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1251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Maria-Luiza Mircea, Ana-Maria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Manea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Francois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Kajzar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Ileana Rau, “Tuning NLO Susceptibility in Functionalized DNA”, Advanced Optical Materials, Vol. 4, Issue 2, 271-275, 2016, Factor impact = 4,060</w:t>
            </w:r>
          </w:p>
        </w:tc>
      </w:tr>
      <w:tr w:rsidR="00A93675" w:rsidRPr="00A93675" w14:paraId="14ECF187" w14:textId="77777777" w:rsidTr="00A93675">
        <w:trPr>
          <w:trHeight w:val="174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D375366" w14:textId="7564A69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8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9AEE" w14:textId="72143B64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Aurelia</w:t>
            </w:r>
          </w:p>
          <w:p w14:paraId="37424FC3" w14:textId="3DB970C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7D3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Grafu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Iulia ,</w:t>
            </w:r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2016</w:t>
            </w:r>
          </w:p>
          <w:p w14:paraId="05FAAE3B" w14:textId="0E2916C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BE5C" w14:textId="595BB3D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Prof. Ileana Rau</w:t>
            </w:r>
          </w:p>
          <w:p w14:paraId="3A65C0B7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Conf. Ioana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Lacatusu</w:t>
            </w:r>
            <w:proofErr w:type="spellEnd"/>
          </w:p>
          <w:p w14:paraId="6C9EF888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Conf. Nicoleta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6142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Gabriela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Ioana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Lacatusu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Cristina Ott, Nicoleta </w:t>
            </w:r>
            <w:proofErr w:type="spellStart"/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 Adriana</w:t>
            </w:r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Iulia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Grafu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Aurelia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Integrative approach in prevention and therapy of basal cellular carcinoma by association of three actives loaded into lipid nanocarriers, Journal of Photochemistry and Photobiology. B, Biology (Factor de Impact: 2,892). 03/2015; 147:1-8. DOI: 10.1016/j.jphotobiol.2015.03.007</w:t>
            </w:r>
          </w:p>
        </w:tc>
      </w:tr>
      <w:tr w:rsidR="00A93675" w:rsidRPr="00A93675" w14:paraId="3E773C18" w14:textId="77777777" w:rsidTr="00A93675">
        <w:trPr>
          <w:trHeight w:val="17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2C1F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85A2" w14:textId="40DB308B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7D88" w14:textId="3704F3E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908A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D893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Cristina Ott, Ioana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Lacatusu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Gabriela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Adriana Iulia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Grafu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Daniela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Istrati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Narcisa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Babeanu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Raluca Stan, Nicoleta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Aurelia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Exploitation of amaranth oil fractions enriched in squalene for dual delivery of hydrophilic and lipophilic actives, Industrial Crops and Products (Factor de Impact: 2,837) Volume 77, 23 December 2015, Pages 342–352. </w:t>
            </w:r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DOI:10.1016/j.indcrop</w:t>
            </w:r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.2015.08.057</w:t>
            </w:r>
          </w:p>
        </w:tc>
      </w:tr>
      <w:tr w:rsidR="00A93675" w:rsidRPr="00A93675" w14:paraId="7CAB2337" w14:textId="77777777" w:rsidTr="00A93675">
        <w:trPr>
          <w:trHeight w:val="116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906A896" w14:textId="3E40459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lastRenderedPageBreak/>
              <w:t>9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C6CC" w14:textId="1589F84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Aurelia</w:t>
            </w:r>
          </w:p>
          <w:p w14:paraId="23FF2D38" w14:textId="4488015B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7F494380" w14:textId="30A8D8A0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87E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Mustafa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AlTemeemi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2016</w:t>
            </w:r>
          </w:p>
          <w:p w14:paraId="0681B723" w14:textId="588B406D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38AF7D16" w14:textId="7133685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8AEF" w14:textId="5C35D9A5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Prof. Raluca Stan</w:t>
            </w:r>
          </w:p>
          <w:p w14:paraId="2904D9C7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Conf. Dan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Mihaiescu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Conf. Ioana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Lacatusu</w:t>
            </w:r>
            <w:proofErr w:type="spellEnd"/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70CC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Mustafa Basim Mohammed Al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Tameemi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Dragos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Godovan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Raluca Stan, Dan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Mihaiescu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Cristina Ott, MCM-41 And Nanostructured Silica Nanotubes: A Comparison of Drug Delivery Abilities, Romanian Journal of Materials, 45 (2), 2015, 188-193. IF = 0.563</w:t>
            </w:r>
          </w:p>
        </w:tc>
      </w:tr>
      <w:tr w:rsidR="00A93675" w:rsidRPr="00A93675" w14:paraId="1486B2D7" w14:textId="77777777" w:rsidTr="00A93675">
        <w:trPr>
          <w:trHeight w:val="145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5FB11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DE67" w14:textId="71ED496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0522" w14:textId="00C8D79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E2E3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E9EA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M. B. M. Al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Tameemi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D.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Mihaiescu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R. Stan,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G.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Voicu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B. S.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Vasile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V.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Traistaru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D.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Istrati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Novel Nanostructured Molecular Sieves of Silica With Included Titanium Dioxide: Preparation and Characteristics, Digest Journal of Nanomaterials and </w:t>
            </w:r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Biostructures ,</w:t>
            </w:r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10 (4), 2015, 1229 – 1235. IF = 0.945</w:t>
            </w:r>
          </w:p>
        </w:tc>
      </w:tr>
      <w:tr w:rsidR="00A93675" w:rsidRPr="00A93675" w14:paraId="2DDE38F2" w14:textId="77777777" w:rsidTr="00A93675">
        <w:trPr>
          <w:trHeight w:val="17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960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AD43" w14:textId="5186732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9DF0" w14:textId="3264F1E3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B54F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8F95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Mustafa Basim M. Al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Tameemi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Raluca Stan, Viorel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Prisacari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Georgeta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Voicu1, Marcela Popa, Mariana Carmen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Chifiriuc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Cristina Ott, George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Marton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Aurelia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Antimicrobial Performance of Nanostructured Silica-Titania Sieves Loaded </w:t>
            </w:r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With</w:t>
            </w:r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Izohidrafural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Against Microbial Strains Isolated From Urinary Tract Infections,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Comptes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Rendus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Chimie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20, 475-483, 2017. IF = 1.798</w:t>
            </w:r>
          </w:p>
        </w:tc>
      </w:tr>
      <w:tr w:rsidR="00A93675" w:rsidRPr="00A93675" w14:paraId="30ED9125" w14:textId="77777777" w:rsidTr="00A93675">
        <w:trPr>
          <w:trHeight w:val="116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142EC09" w14:textId="16CCB639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10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13F1" w14:textId="4731818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Aurelia</w:t>
            </w:r>
          </w:p>
          <w:p w14:paraId="3651E296" w14:textId="1B3F0566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7E6E6CC1" w14:textId="5BBED6F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413B7262" w14:textId="4349DBC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0B80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Adina, 2016</w:t>
            </w:r>
          </w:p>
          <w:p w14:paraId="36DC1B45" w14:textId="038172E2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350F03F4" w14:textId="1820F8C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209FE49B" w14:textId="43F5D339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E155" w14:textId="48B50A1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Prof. Ileana Rau</w:t>
            </w:r>
          </w:p>
          <w:p w14:paraId="15FE3740" w14:textId="64522DFD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Conf. Maria Mihaly</w:t>
            </w:r>
          </w:p>
          <w:p w14:paraId="640904C6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Conf. Nicoleta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Badea</w:t>
            </w:r>
            <w:proofErr w:type="spellEnd"/>
          </w:p>
          <w:p w14:paraId="4908FCEB" w14:textId="3FBB1DE0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78DB9244" w14:textId="0875E17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549A3CA9" w14:textId="2D5813F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F1E4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A. E.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Rogozea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N. L.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V.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Crisciu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M. Mihaly, Highly homogeneous nanostructured templates based on environmental friendly microemulsion for nanomaterials processing, Materials </w:t>
            </w:r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Letters,  132</w:t>
            </w:r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2014, 346-348, IF=2,437</w:t>
            </w:r>
          </w:p>
        </w:tc>
      </w:tr>
      <w:tr w:rsidR="00A93675" w:rsidRPr="00A93675" w14:paraId="12B38FF9" w14:textId="77777777" w:rsidTr="00A93675">
        <w:trPr>
          <w:trHeight w:val="8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A1533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FFB3" w14:textId="58220DD9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45E7" w14:textId="1DFC59C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7A85" w14:textId="013186B2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24B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M. Mihaly, Non-ionic surfactant self-assembling promoted by different dyes in aqueous media, UPB Scientific Bulletin, Series B: Chemistry and Materials Science, 77(4), 2015, 75-86</w:t>
            </w:r>
          </w:p>
        </w:tc>
      </w:tr>
      <w:tr w:rsidR="00A93675" w:rsidRPr="00A93675" w14:paraId="1779EBEF" w14:textId="77777777" w:rsidTr="00A93675">
        <w:trPr>
          <w:trHeight w:val="11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BBB45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F0DE" w14:textId="7C6B788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2AF8" w14:textId="7EA08885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6062" w14:textId="6708E15D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65D8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E.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Rogozea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C. A. Lazar, N. L.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M. Mihaly, Specific interactions within micelle microenvironment in different charged dye/surfactant systems, Arabian Journal of Chemistry, 9, 2016, 9-17, IF=3,613</w:t>
            </w:r>
          </w:p>
        </w:tc>
      </w:tr>
      <w:tr w:rsidR="00A93675" w:rsidRPr="00A93675" w14:paraId="293EFCD0" w14:textId="77777777" w:rsidTr="00A93675">
        <w:trPr>
          <w:trHeight w:val="13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BCFD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E8D8" w14:textId="0E826F33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8912" w14:textId="7C57804A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793D" w14:textId="6B483F52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032E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C. A. Lazar, E.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Rogozea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N. L.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M. Mihaly, Nonionic microemulsion systems applied for removal of ionic dyes mixtures from textile industry wastewaters, Separation and Purification Technology, 158, 2016, 155-159, IF=3,299</w:t>
            </w:r>
          </w:p>
        </w:tc>
      </w:tr>
      <w:tr w:rsidR="00A93675" w:rsidRPr="00A93675" w14:paraId="27EA9793" w14:textId="77777777" w:rsidTr="00A93675">
        <w:trPr>
          <w:trHeight w:val="116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D78B5C" w14:textId="6CCA80BA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1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4CFE" w14:textId="59CCD36B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Aurelia</w:t>
            </w:r>
          </w:p>
          <w:p w14:paraId="57C564EB" w14:textId="4C14A5FB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4ABD717F" w14:textId="4F307E5A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70759033" w14:textId="126C195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8522" w14:textId="5813EB00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Cadar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Stamate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) Daniela, 2018</w:t>
            </w:r>
          </w:p>
          <w:p w14:paraId="3EE95A92" w14:textId="0F2B5025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19445820" w14:textId="0BAE598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  <w:p w14:paraId="6929F028" w14:textId="3AAE8CA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23A6" w14:textId="5557BED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Prof. Ileana Rau</w:t>
            </w:r>
          </w:p>
          <w:p w14:paraId="5937471C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Conf. Maria Mihaly</w:t>
            </w:r>
          </w:p>
          <w:p w14:paraId="38AFD2AA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Conf. Ioana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Lacatusu</w:t>
            </w:r>
            <w:proofErr w:type="spellEnd"/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A743" w14:textId="2241DAFC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Cadar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N. L.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M. Mihaly, Efficient recovery of metals from aqueous media by two phase microemulsion system, UPB Scientific Bulletin, Series B: Chemistry and Materials Science, 79(2), 2017, 13-24.</w:t>
            </w:r>
          </w:p>
        </w:tc>
      </w:tr>
      <w:tr w:rsidR="00A93675" w:rsidRPr="00A93675" w14:paraId="2CEFFA01" w14:textId="77777777" w:rsidTr="00A93675">
        <w:trPr>
          <w:trHeight w:val="11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A009E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9AE5" w14:textId="4F92245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41BF" w14:textId="7B17E6C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0E48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CE73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Cadar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N. L.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E.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Rogozea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M. Mihaly, Recovery of targeted hydrophilic compounds from simulated wastewaters using nonionic microemulsion systems, Process Safety and Environmental Protection, 109, 2017, 648-658, IF=3,441</w:t>
            </w:r>
          </w:p>
        </w:tc>
      </w:tr>
      <w:tr w:rsidR="00A93675" w:rsidRPr="00A93675" w14:paraId="38974C51" w14:textId="77777777" w:rsidTr="00A93675">
        <w:trPr>
          <w:trHeight w:val="11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9DE6B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C53E" w14:textId="0385DA7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9CEF" w14:textId="23B826BA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6C9E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C38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Cadar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N. L.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E. A. Andrei, 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C. A. Marin,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M. Mihaly, Synergism of thiocyanate ions and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microinterfacial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surface as driving forces for heavy multi-metals extraction, Arabian Journal of Chemistry, 11, 2018, 501-512, IF=2,969</w:t>
            </w:r>
          </w:p>
        </w:tc>
      </w:tr>
      <w:tr w:rsidR="00A93675" w:rsidRPr="00A93675" w14:paraId="460789C4" w14:textId="77777777" w:rsidTr="00A93675">
        <w:trPr>
          <w:trHeight w:val="8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3500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8855" w14:textId="150BAF71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F499" w14:textId="7DD0356E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9BF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8C2D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Cadar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N. L.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Olteanu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E. A. Andrei,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Meghea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R.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Petcu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M. Mihaly, Fluid structures used for wastewaters treatment with complex load, Separation and Purification Technology, 197, 2018, 1-7, IF=3,927</w:t>
            </w:r>
          </w:p>
        </w:tc>
      </w:tr>
      <w:tr w:rsidR="00A93675" w:rsidRPr="00A93675" w14:paraId="3958BD81" w14:textId="77777777" w:rsidTr="00A93675">
        <w:trPr>
          <w:trHeight w:val="1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6DAF" w14:textId="73AD4AEB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2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01F1" w14:textId="29D559B6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ROŞCA Sorin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6F2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Elena VRABIE (PARLEA), 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A4D4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Raluca STAN</w:t>
            </w:r>
          </w:p>
          <w:p w14:paraId="6268145C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Cristina OTT</w:t>
            </w:r>
          </w:p>
          <w:p w14:paraId="4DE1ED5E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Matei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RAICOPOL</w:t>
            </w: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0C82" w14:textId="537ABFF3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Ott, C.,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Parlea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E., Stan, R., Ungureanu, E.-M.,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Rosca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gram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S.I. ,</w:t>
            </w:r>
            <w:proofErr w:type="gram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 Mechanism of acid catalyzed condensation of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tricarbonil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-chromium complexed benzylic acetates with reactive arenes, UPB Scientific Bulletin, Series B: Chemistry and Materials Science, 2016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br/>
              <w:t>78(1), 39-50.</w:t>
            </w:r>
          </w:p>
        </w:tc>
      </w:tr>
      <w:tr w:rsidR="00A93675" w:rsidRPr="00A93675" w14:paraId="17839044" w14:textId="77777777" w:rsidTr="00A93675">
        <w:trPr>
          <w:trHeight w:val="11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6896" w14:textId="1B42DC6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3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FE71" w14:textId="79BD22EA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VIŞAN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Teodor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2644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Adriana Simona CATRANGIU, 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EA3A" w14:textId="2722B548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Adina COTARTA</w:t>
            </w:r>
          </w:p>
          <w:p w14:paraId="1EFE7FA6" w14:textId="79914320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Anca COJOCARU</w:t>
            </w:r>
          </w:p>
          <w:p w14:paraId="2473CF36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Florentina GOLGOVICI</w:t>
            </w: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FE2C" w14:textId="54C916C3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Catrangiu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A.S., Sin, I.,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Prioteasa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P.,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Cotarta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Cojocaru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Anicai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L.,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Visan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, T., Studies of antimony telluride and copper telluride films electrodeposition from choline chloride containing ionic liquids, Thin Solid Films, 611, 88-100, DOI: 10.1016/j.tsf.2016.04.030.</w:t>
            </w:r>
          </w:p>
        </w:tc>
      </w:tr>
      <w:tr w:rsidR="00A93675" w:rsidRPr="00A93675" w14:paraId="51A3B751" w14:textId="77777777" w:rsidTr="00A93675">
        <w:trPr>
          <w:trHeight w:val="11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8C8E" w14:textId="09BEBC9D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14.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2F9C" w14:textId="3543F24F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Teodor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Visan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4245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Andrei Dan BUSUIOC, 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3FA9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Olga IULIAN</w:t>
            </w:r>
          </w:p>
          <w:p w14:paraId="51F71421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Adina COTARTA</w:t>
            </w:r>
          </w:p>
          <w:p w14:paraId="0ECC18BF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Anca COJOCARU</w:t>
            </w:r>
          </w:p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1A4C" w14:textId="77777777" w:rsidR="00A93675" w:rsidRPr="00A93675" w:rsidRDefault="00A93675" w:rsidP="00A93675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</w:pP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A.D.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Busuioc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Cojocaru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Cotârţă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T.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Vişan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Corrosion of some steels and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aluminium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alloys in the foam concentrate used as fire-extinguishing medium, 16th International Conference of Physical </w:t>
            </w:r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br/>
              <w:t xml:space="preserve">Chemistry, (ROMPHYSCHEM 16 - 2016),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Septembrie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 2016,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Galaţi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România</w:t>
            </w:r>
            <w:proofErr w:type="spellEnd"/>
            <w:r w:rsidRPr="00A93675">
              <w:rPr>
                <w:rFonts w:ascii="Cambria" w:eastAsia="Times New Roman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14:paraId="23FDD39E" w14:textId="48868530" w:rsidR="00C3028C" w:rsidRDefault="00C3028C"/>
    <w:sectPr w:rsidR="00C302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28C"/>
    <w:rsid w:val="000309C6"/>
    <w:rsid w:val="004248C3"/>
    <w:rsid w:val="00490943"/>
    <w:rsid w:val="0070763F"/>
    <w:rsid w:val="007113A6"/>
    <w:rsid w:val="009A3113"/>
    <w:rsid w:val="00A82B57"/>
    <w:rsid w:val="00A93675"/>
    <w:rsid w:val="00B52E8C"/>
    <w:rsid w:val="00C3028C"/>
    <w:rsid w:val="00D20E3D"/>
    <w:rsid w:val="00F53071"/>
    <w:rsid w:val="00FF39C1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D8490"/>
  <w15:chartTrackingRefBased/>
  <w15:docId w15:val="{699D7B4A-B649-7045-8387-D9C12A7D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28C"/>
    <w:pPr>
      <w:spacing w:after="200" w:line="276" w:lineRule="auto"/>
    </w:pPr>
    <w:rPr>
      <w:rFonts w:ascii="Calibri" w:eastAsia="Calibri" w:hAnsi="Calibri" w:cs="Times New Roman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85973-83B0-4C67-83E3-72B9ECEF78D3}"/>
</file>

<file path=customXml/itemProps2.xml><?xml version="1.0" encoding="utf-8"?>
<ds:datastoreItem xmlns:ds="http://schemas.openxmlformats.org/officeDocument/2006/customXml" ds:itemID="{2C4F6AF0-9395-48BC-9AA4-048ACF56620E}"/>
</file>

<file path=customXml/itemProps3.xml><?xml version="1.0" encoding="utf-8"?>
<ds:datastoreItem xmlns:ds="http://schemas.openxmlformats.org/officeDocument/2006/customXml" ds:itemID="{5B4A1AF0-E244-4CF5-B8EB-54A87219EB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17</cp:revision>
  <dcterms:created xsi:type="dcterms:W3CDTF">2020-12-05T19:22:00Z</dcterms:created>
  <dcterms:modified xsi:type="dcterms:W3CDTF">2020-12-20T23:00:00Z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